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before="0" w:line="300" w:lineRule="auto"/>
        <w:ind w:left="-80" w:right="-80" w:firstLine="0"/>
        <w:rPr>
          <w:b w:val="1"/>
          <w:color w:val="937000"/>
          <w:sz w:val="51"/>
          <w:szCs w:val="51"/>
        </w:rPr>
      </w:pPr>
      <w:bookmarkStart w:colFirst="0" w:colLast="0" w:name="_cs5fp0mbiuio" w:id="0"/>
      <w:bookmarkEnd w:id="0"/>
      <w:r w:rsidDel="00000000" w:rsidR="00000000" w:rsidRPr="00000000">
        <w:rPr>
          <w:b w:val="1"/>
          <w:color w:val="937000"/>
          <w:sz w:val="51"/>
          <w:szCs w:val="51"/>
          <w:rtl w:val="0"/>
        </w:rPr>
        <w:t xml:space="preserve">Accreditamento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ind w:left="-80" w:right="-80" w:firstLine="0"/>
        <w:rPr>
          <w:b w:val="1"/>
          <w:color w:val="937000"/>
          <w:sz w:val="51"/>
          <w:szCs w:val="51"/>
        </w:rPr>
      </w:pPr>
      <w:r w:rsidDel="00000000" w:rsidR="00000000" w:rsidRPr="00000000">
        <w:rPr>
          <w:b w:val="1"/>
          <w:color w:val="937000"/>
          <w:sz w:val="51"/>
          <w:szCs w:val="51"/>
        </w:rPr>
        <w:drawing>
          <wp:inline distB="114300" distT="114300" distL="114300" distR="114300">
            <wp:extent cx="4165600" cy="2235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keepNext w:val="0"/>
        <w:keepLines w:val="0"/>
        <w:shd w:fill="ffffff" w:val="clear"/>
        <w:spacing w:after="120" w:before="0" w:line="288" w:lineRule="auto"/>
        <w:ind w:left="-80" w:right="-80" w:firstLine="0"/>
        <w:rPr>
          <w:color w:val="234da1"/>
          <w:sz w:val="25"/>
          <w:szCs w:val="25"/>
        </w:rPr>
      </w:pPr>
      <w:bookmarkStart w:colFirst="0" w:colLast="0" w:name="_k91dym62offs" w:id="1"/>
      <w:bookmarkEnd w:id="1"/>
      <w:r w:rsidDel="00000000" w:rsidR="00000000" w:rsidRPr="00000000">
        <w:rPr>
          <w:color w:val="234da1"/>
          <w:sz w:val="25"/>
          <w:szCs w:val="25"/>
          <w:rtl w:val="0"/>
        </w:rPr>
        <w:t xml:space="preserve">Che cos'è l'accreditamento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ind w:left="-80" w:right="-8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L'accreditamento Erasmus+ è una novità per il settore della scuola e fa parte della nuova </w:t>
      </w:r>
      <w:r w:rsidDel="00000000" w:rsidR="00000000" w:rsidRPr="00000000">
        <w:rPr>
          <w:i w:val="1"/>
          <w:sz w:val="27"/>
          <w:szCs w:val="27"/>
          <w:rtl w:val="0"/>
        </w:rPr>
        <w:t xml:space="preserve">Azione Chiave 1 </w:t>
      </w:r>
      <w:r w:rsidDel="00000000" w:rsidR="00000000" w:rsidRPr="00000000">
        <w:rPr>
          <w:sz w:val="27"/>
          <w:szCs w:val="27"/>
          <w:rtl w:val="0"/>
        </w:rPr>
        <w:t xml:space="preserve">del Programma Erasmus+ 2021-2027, a sostegno della mobilità internazionale degli studenti e del personale della scuola.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ind w:left="-80" w:right="-8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L'accreditamento Erasmus+ consente di accedere a un percorso semplificato per la richiesta di finanziamenti per l'</w:t>
      </w:r>
      <w:r w:rsidDel="00000000" w:rsidR="00000000" w:rsidRPr="00000000">
        <w:rPr>
          <w:i w:val="1"/>
          <w:sz w:val="27"/>
          <w:szCs w:val="27"/>
          <w:rtl w:val="0"/>
        </w:rPr>
        <w:t xml:space="preserve">Azione Chiave 1</w:t>
      </w:r>
      <w:r w:rsidDel="00000000" w:rsidR="00000000" w:rsidRPr="00000000">
        <w:rPr>
          <w:sz w:val="27"/>
          <w:szCs w:val="27"/>
          <w:rtl w:val="0"/>
        </w:rPr>
        <w:t xml:space="preserve">, presentando semplicemente il piano finanziario relativo a ciascuna annualità, il suo targert e le modalità di realizzazione delle mobilità.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